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1017E" w14:textId="380A1501" w:rsidR="00067548" w:rsidRPr="000A1C1D" w:rsidRDefault="006365BB" w:rsidP="00067548">
      <w:pPr>
        <w:pStyle w:val="3GPPHeader"/>
        <w:spacing w:after="60"/>
        <w:rPr>
          <w:lang w:val="en-US"/>
        </w:rPr>
      </w:pPr>
      <w:r w:rsidRPr="008F3259">
        <w:rPr>
          <w:lang w:val="en-US"/>
        </w:rPr>
        <w:t>3GPP TSG RAN WG2 NR AdHoc#2</w:t>
      </w:r>
      <w:r w:rsidR="00067548" w:rsidRPr="000A1C1D">
        <w:rPr>
          <w:lang w:val="en-US"/>
        </w:rPr>
        <w:tab/>
      </w:r>
      <w:r w:rsidR="00067548" w:rsidRPr="008F3259">
        <w:rPr>
          <w:lang w:val="en-US"/>
        </w:rPr>
        <w:t xml:space="preserve">Tdoc </w:t>
      </w:r>
      <w:r w:rsidR="00E54D82" w:rsidRPr="008F3259">
        <w:rPr>
          <w:bCs/>
        </w:rPr>
        <w:t>R2-</w:t>
      </w:r>
      <w:r w:rsidR="001C2E40" w:rsidRPr="008F3259">
        <w:rPr>
          <w:bCs/>
        </w:rPr>
        <w:t>170</w:t>
      </w:r>
      <w:r w:rsidR="008F3259" w:rsidRPr="008F3259">
        <w:rPr>
          <w:bCs/>
        </w:rPr>
        <w:t>6512</w:t>
      </w:r>
    </w:p>
    <w:p w14:paraId="18631385" w14:textId="2E3D648C" w:rsidR="00067548" w:rsidRPr="000A1C1D" w:rsidRDefault="006365BB" w:rsidP="00067548">
      <w:pPr>
        <w:pStyle w:val="3GPPHeader"/>
        <w:spacing w:after="60"/>
        <w:rPr>
          <w:b w:val="0"/>
          <w:noProof/>
        </w:rPr>
      </w:pPr>
      <w:r>
        <w:t>Qingdao, P.R. of China, 27</w:t>
      </w:r>
      <w:r w:rsidRPr="00C544E1">
        <w:rPr>
          <w:vertAlign w:val="superscript"/>
        </w:rPr>
        <w:t>th</w:t>
      </w:r>
      <w:r>
        <w:t xml:space="preserve"> – 29</w:t>
      </w:r>
      <w:r w:rsidRPr="00AE3743">
        <w:rPr>
          <w:vertAlign w:val="superscript"/>
        </w:rPr>
        <w:t>th</w:t>
      </w:r>
      <w:r>
        <w:t xml:space="preserve"> June 2017</w:t>
      </w:r>
      <w:r w:rsidR="00FA2E09" w:rsidRPr="000A1C1D">
        <w:rPr>
          <w:lang w:val="en-US"/>
        </w:rPr>
        <w:tab/>
      </w:r>
      <w:r w:rsidR="00E82BD6">
        <w:rPr>
          <w:lang w:val="en-US"/>
        </w:rPr>
        <w:t>(Revision of R2-1704359)</w:t>
      </w:r>
    </w:p>
    <w:p w14:paraId="2BF09981" w14:textId="77777777" w:rsidR="00E90E49" w:rsidRPr="000A1C1D" w:rsidRDefault="00E90E49" w:rsidP="00357380">
      <w:pPr>
        <w:pStyle w:val="3GPPHeader"/>
      </w:pPr>
    </w:p>
    <w:p w14:paraId="483DA894" w14:textId="2579DC33" w:rsidR="00E90E49" w:rsidRPr="0027259A" w:rsidRDefault="00E90E49" w:rsidP="00311702">
      <w:pPr>
        <w:pStyle w:val="3GPPHeader"/>
        <w:rPr>
          <w:sz w:val="22"/>
          <w:szCs w:val="22"/>
          <w:lang w:val="en-US"/>
        </w:rPr>
      </w:pPr>
      <w:r w:rsidRPr="008F3259">
        <w:rPr>
          <w:sz w:val="22"/>
          <w:szCs w:val="22"/>
          <w:lang w:val="en-US"/>
        </w:rPr>
        <w:t>Agenda Item:</w:t>
      </w:r>
      <w:r w:rsidRPr="008F3259">
        <w:rPr>
          <w:sz w:val="22"/>
          <w:szCs w:val="22"/>
          <w:lang w:val="en-US"/>
        </w:rPr>
        <w:tab/>
      </w:r>
      <w:r w:rsidR="00AF724D" w:rsidRPr="008F3259">
        <w:rPr>
          <w:sz w:val="22"/>
          <w:szCs w:val="22"/>
          <w:lang w:val="en-US"/>
        </w:rPr>
        <w:t>10</w:t>
      </w:r>
      <w:r w:rsidR="00C3323B" w:rsidRPr="008F3259">
        <w:rPr>
          <w:sz w:val="22"/>
          <w:szCs w:val="22"/>
          <w:lang w:val="en-US"/>
        </w:rPr>
        <w:t>.4.1.8</w:t>
      </w:r>
    </w:p>
    <w:p w14:paraId="007910E2" w14:textId="77777777" w:rsidR="00E90E49" w:rsidRPr="000A1C1D" w:rsidRDefault="003D3C45" w:rsidP="00F64C2B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Source:</w:t>
      </w:r>
      <w:r w:rsidR="00E90E49" w:rsidRPr="000A1C1D">
        <w:rPr>
          <w:sz w:val="22"/>
          <w:szCs w:val="22"/>
        </w:rPr>
        <w:tab/>
      </w:r>
      <w:r w:rsidR="00F64C2B" w:rsidRPr="000A1C1D">
        <w:rPr>
          <w:sz w:val="22"/>
          <w:szCs w:val="22"/>
        </w:rPr>
        <w:t>Ericsson</w:t>
      </w:r>
    </w:p>
    <w:p w14:paraId="3F895CC8" w14:textId="51183D84" w:rsidR="00E90E49" w:rsidRPr="000A1C1D" w:rsidRDefault="003D3C45" w:rsidP="00311702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Title:</w:t>
      </w:r>
      <w:r w:rsidR="00E90E49" w:rsidRPr="000A1C1D">
        <w:rPr>
          <w:sz w:val="22"/>
          <w:szCs w:val="22"/>
        </w:rPr>
        <w:tab/>
      </w:r>
      <w:r w:rsidR="00C3323B">
        <w:rPr>
          <w:sz w:val="22"/>
          <w:szCs w:val="22"/>
        </w:rPr>
        <w:t>Wait Timer in NR</w:t>
      </w:r>
      <w:bookmarkStart w:id="0" w:name="_GoBack"/>
      <w:bookmarkEnd w:id="0"/>
    </w:p>
    <w:p w14:paraId="13B944B8" w14:textId="77777777" w:rsidR="00E90E49" w:rsidRPr="000A1C1D" w:rsidRDefault="00E90E49" w:rsidP="007146AF">
      <w:pPr>
        <w:pStyle w:val="3GPPHeader"/>
      </w:pPr>
      <w:r w:rsidRPr="000A1C1D">
        <w:rPr>
          <w:sz w:val="22"/>
          <w:szCs w:val="22"/>
        </w:rPr>
        <w:t>Document for:</w:t>
      </w:r>
      <w:r w:rsidRPr="000A1C1D">
        <w:rPr>
          <w:sz w:val="22"/>
          <w:szCs w:val="22"/>
        </w:rPr>
        <w:tab/>
        <w:t>Discussion, Decision</w:t>
      </w:r>
    </w:p>
    <w:p w14:paraId="458E008A" w14:textId="77777777" w:rsidR="00E90E49" w:rsidRPr="000A1C1D" w:rsidRDefault="00E90E49" w:rsidP="00CE0424">
      <w:pPr>
        <w:pStyle w:val="Heading1"/>
      </w:pPr>
      <w:r w:rsidRPr="000A1C1D">
        <w:t>Introduction</w:t>
      </w:r>
    </w:p>
    <w:p w14:paraId="005D3183" w14:textId="3710651B" w:rsidR="000E608D" w:rsidRPr="000A1C1D" w:rsidRDefault="000E608D" w:rsidP="000E608D">
      <w:r w:rsidRPr="000A1C1D">
        <w:t xml:space="preserve">With congestion actions </w:t>
      </w:r>
      <w:r w:rsidR="00655249">
        <w:t>i</w:t>
      </w:r>
      <w:r w:rsidR="00837276">
        <w:t xml:space="preserve">n LTE, </w:t>
      </w:r>
      <w:r>
        <w:t xml:space="preserve">we refer to actions </w:t>
      </w:r>
      <w:r w:rsidRPr="000A1C1D">
        <w:t>to manage exceptional resource limitations.</w:t>
      </w:r>
      <w:r>
        <w:t xml:space="preserve"> As means to manage overload, there are, e.g., </w:t>
      </w:r>
    </w:p>
    <w:p w14:paraId="12411E06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 xml:space="preserve">Connection Release </w:t>
      </w:r>
    </w:p>
    <w:p w14:paraId="67297ED5" w14:textId="77777777" w:rsidR="000E608D" w:rsidRDefault="000E608D" w:rsidP="000E608D">
      <w:pPr>
        <w:pStyle w:val="ListParagraph"/>
        <w:numPr>
          <w:ilvl w:val="0"/>
          <w:numId w:val="19"/>
        </w:numPr>
      </w:pPr>
      <w:r>
        <w:t>Connection Reject</w:t>
      </w:r>
    </w:p>
    <w:p w14:paraId="3DF3917E" w14:textId="77777777" w:rsidR="000E608D" w:rsidRDefault="000E608D" w:rsidP="000E608D">
      <w:pPr>
        <w:pStyle w:val="ListParagraph"/>
        <w:numPr>
          <w:ilvl w:val="0"/>
          <w:numId w:val="19"/>
        </w:numPr>
      </w:pPr>
      <w:r>
        <w:t>Access Barring, to limit new traffic</w:t>
      </w:r>
    </w:p>
    <w:p w14:paraId="44217234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>Handover (to another cell/resource)</w:t>
      </w:r>
    </w:p>
    <w:p w14:paraId="52271027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>Connection Reconfiguration (without mobility)</w:t>
      </w:r>
      <w:r>
        <w:t>, to e.g. release or reconfigure existing bearers/flows</w:t>
      </w:r>
    </w:p>
    <w:p w14:paraId="3FA38B26" w14:textId="77777777" w:rsidR="000E608D" w:rsidRDefault="000E608D" w:rsidP="000E608D">
      <w:pPr>
        <w:pStyle w:val="ListParagraph"/>
        <w:numPr>
          <w:ilvl w:val="0"/>
          <w:numId w:val="19"/>
        </w:numPr>
      </w:pPr>
      <w:r w:rsidRPr="000A1C1D">
        <w:t>Scheduling</w:t>
      </w:r>
      <w:r>
        <w:t>, to e.g. perform throttling of the data on existing bearers/flows</w:t>
      </w:r>
    </w:p>
    <w:p w14:paraId="001E08A0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>
        <w:t>Random Access Backoff</w:t>
      </w:r>
    </w:p>
    <w:p w14:paraId="49FFE694" w14:textId="77777777" w:rsidR="00FC653F" w:rsidRDefault="00FC653F" w:rsidP="000E608D"/>
    <w:p w14:paraId="1B3D911C" w14:textId="5FC60021" w:rsidR="000E608D" w:rsidRDefault="00FC653F" w:rsidP="000E608D">
      <w:r>
        <w:t>T</w:t>
      </w:r>
      <w:r w:rsidR="000E608D">
        <w:t>he following figure illustrate</w:t>
      </w:r>
      <w:r>
        <w:t>s</w:t>
      </w:r>
      <w:r w:rsidR="000E608D">
        <w:t xml:space="preserve"> these different mechanisms and its possible relation to system load. </w:t>
      </w:r>
    </w:p>
    <w:p w14:paraId="23F48E61" w14:textId="77777777" w:rsidR="000E608D" w:rsidRDefault="000E608D" w:rsidP="000E608D">
      <w:r w:rsidRPr="00682503">
        <w:rPr>
          <w:noProof/>
          <w:lang w:val="sv-SE" w:eastAsia="sv-SE"/>
        </w:rPr>
        <w:drawing>
          <wp:inline distT="0" distB="0" distL="0" distR="0" wp14:anchorId="3D74929D" wp14:editId="3C29584B">
            <wp:extent cx="3695700" cy="2019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3F3BD" w14:textId="1DB5F49F" w:rsidR="006908D1" w:rsidRPr="00AF724D" w:rsidRDefault="000E608D" w:rsidP="00AF724D">
      <w:pPr>
        <w:jc w:val="center"/>
        <w:rPr>
          <w:b/>
        </w:rPr>
      </w:pPr>
      <w:r w:rsidRPr="00AF724D">
        <w:rPr>
          <w:b/>
        </w:rPr>
        <w:t xml:space="preserve">Figure </w:t>
      </w:r>
      <w:r w:rsidRPr="00AF724D">
        <w:rPr>
          <w:b/>
        </w:rPr>
        <w:fldChar w:fldCharType="begin"/>
      </w:r>
      <w:r w:rsidRPr="00AF724D">
        <w:rPr>
          <w:b/>
        </w:rPr>
        <w:instrText xml:space="preserve"> SEQ Figure \* ARABIC </w:instrText>
      </w:r>
      <w:r w:rsidRPr="00AF724D">
        <w:rPr>
          <w:b/>
        </w:rPr>
        <w:fldChar w:fldCharType="separate"/>
      </w:r>
      <w:r w:rsidR="000252DE" w:rsidRPr="00AF724D">
        <w:rPr>
          <w:b/>
          <w:noProof/>
        </w:rPr>
        <w:t>1</w:t>
      </w:r>
      <w:r w:rsidRPr="00AF724D">
        <w:rPr>
          <w:b/>
        </w:rPr>
        <w:fldChar w:fldCharType="end"/>
      </w:r>
      <w:r w:rsidRPr="00AF724D">
        <w:rPr>
          <w:b/>
        </w:rPr>
        <w:t>: Access and Congestion control mechanisms</w:t>
      </w:r>
    </w:p>
    <w:p w14:paraId="68762AB6" w14:textId="77777777" w:rsidR="00AF724D" w:rsidRPr="000A1C1D" w:rsidRDefault="00AF724D" w:rsidP="000E608D"/>
    <w:p w14:paraId="6513B02F" w14:textId="009C884A" w:rsidR="00CC25BB" w:rsidRPr="000A1C1D" w:rsidRDefault="00837276" w:rsidP="00272CC6">
      <w:pPr>
        <w:pStyle w:val="BodyText"/>
      </w:pPr>
      <w:r>
        <w:rPr>
          <w:lang w:val="en-US"/>
        </w:rPr>
        <w:t>In this paper will will elaborate further on Connection Release and Connection Reject</w:t>
      </w:r>
      <w:r>
        <w:t xml:space="preserve"> for NR</w:t>
      </w:r>
      <w:r w:rsidR="00FC653F">
        <w:t>.</w:t>
      </w:r>
    </w:p>
    <w:p w14:paraId="1651B99B" w14:textId="00281D90" w:rsidR="000E608D" w:rsidRDefault="004000E8" w:rsidP="00AF724D">
      <w:pPr>
        <w:pStyle w:val="Heading1"/>
      </w:pPr>
      <w:bookmarkStart w:id="1" w:name="_Ref178064866"/>
      <w:r w:rsidRPr="000A1C1D">
        <w:t>Discussion</w:t>
      </w:r>
      <w:bookmarkEnd w:id="1"/>
    </w:p>
    <w:p w14:paraId="2C5A794D" w14:textId="28DC9BEE" w:rsidR="00E657AF" w:rsidRDefault="00E657AF" w:rsidP="00AF724D">
      <w:pPr>
        <w:pStyle w:val="Heading2"/>
      </w:pPr>
      <w:r>
        <w:t>Release and Reject</w:t>
      </w:r>
    </w:p>
    <w:p w14:paraId="5C9AC687" w14:textId="2695D987" w:rsidR="000252DE" w:rsidRDefault="00C3323B" w:rsidP="00AF724D">
      <w:pPr>
        <w:pStyle w:val="BodyText"/>
      </w:pPr>
      <w:r>
        <w:t>In LTE, o</w:t>
      </w:r>
      <w:r w:rsidR="00837276">
        <w:t xml:space="preserve">ne possible congestion action is to </w:t>
      </w:r>
      <w:r w:rsidR="00837276" w:rsidRPr="00AF724D">
        <w:rPr>
          <w:i/>
        </w:rPr>
        <w:t>release connection</w:t>
      </w:r>
      <w:r w:rsidR="000252DE" w:rsidRPr="00AF724D">
        <w:rPr>
          <w:i/>
        </w:rPr>
        <w:t>s</w:t>
      </w:r>
      <w:r w:rsidR="000252DE">
        <w:t xml:space="preserve"> at overload situations.</w:t>
      </w:r>
    </w:p>
    <w:p w14:paraId="28D21A35" w14:textId="2E3BEF5D" w:rsidR="000252DE" w:rsidRDefault="000252DE" w:rsidP="000A1C1D"/>
    <w:bookmarkStart w:id="2" w:name="_MON_1267948855"/>
    <w:bookmarkEnd w:id="2"/>
    <w:bookmarkStart w:id="3" w:name="_MON_1289914524"/>
    <w:bookmarkEnd w:id="3"/>
    <w:p w14:paraId="4C5A9EF2" w14:textId="4EB12FA7" w:rsidR="000252DE" w:rsidRDefault="000252DE" w:rsidP="000A1C1D">
      <w:r w:rsidRPr="00D05729">
        <w:object w:dxaOrig="7574" w:dyaOrig="1634" w14:anchorId="6DD99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5pt;height:76.75pt" o:ole="">
            <v:imagedata r:id="rId14" o:title=""/>
          </v:shape>
          <o:OLEObject Type="Embed" ProgID="Word.Picture.8" ShapeID="_x0000_i1025" DrawAspect="Content" ObjectID="_1559160231" r:id="rId15"/>
        </w:object>
      </w:r>
    </w:p>
    <w:p w14:paraId="4BFAC784" w14:textId="0A8E60A9" w:rsidR="000252DE" w:rsidRDefault="000252DE" w:rsidP="00AF7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RRC Connection Release</w:t>
      </w:r>
    </w:p>
    <w:p w14:paraId="6CD7D131" w14:textId="3130E0F0" w:rsidR="00837276" w:rsidRDefault="00837276" w:rsidP="000A1C1D">
      <w:r>
        <w:t xml:space="preserve">To </w:t>
      </w:r>
      <w:r w:rsidR="000252DE">
        <w:t>use</w:t>
      </w:r>
      <w:r>
        <w:t xml:space="preserve"> release procedures</w:t>
      </w:r>
      <w:r w:rsidR="000252DE">
        <w:t xml:space="preserve"> as tools for congestion actions</w:t>
      </w:r>
      <w:r>
        <w:t>, a QoS parameter ARP (A</w:t>
      </w:r>
      <w:r w:rsidR="00C3323B">
        <w:t>l</w:t>
      </w:r>
      <w:r>
        <w:t>location-Retention Priority) is standardized and can be used to decide what bearers/flows to release at overload. The ARP parameter indicate both pre-emption capability and pre-emption vulnerability</w:t>
      </w:r>
      <w:r w:rsidR="000252DE">
        <w:t>.</w:t>
      </w:r>
    </w:p>
    <w:p w14:paraId="6F0B4BEC" w14:textId="01436097" w:rsidR="00837276" w:rsidRDefault="00837276" w:rsidP="000A1C1D">
      <w:r>
        <w:t>In 3GPP TS 23.501, ARP is introduced also for NR, providing similar indications for bearers/flows. With the presence of ARP indications we think that it is feasible to work with connection release as a congestion action also in NR.</w:t>
      </w:r>
    </w:p>
    <w:p w14:paraId="59A42B9C" w14:textId="77777777" w:rsidR="000252DE" w:rsidRDefault="000252DE" w:rsidP="000A1C1D"/>
    <w:p w14:paraId="52E3FB7C" w14:textId="49C8957F" w:rsidR="00837276" w:rsidRDefault="00E657AF" w:rsidP="000A1C1D">
      <w:r>
        <w:t>Further, a</w:t>
      </w:r>
      <w:r w:rsidR="00837276">
        <w:t xml:space="preserve"> complement or alternative to working with access barring to limit the inflow of new tra</w:t>
      </w:r>
      <w:r w:rsidR="000252DE">
        <w:t xml:space="preserve">ffic is to </w:t>
      </w:r>
      <w:r w:rsidR="000252DE" w:rsidRPr="00AF724D">
        <w:rPr>
          <w:i/>
        </w:rPr>
        <w:t>reject requests.</w:t>
      </w:r>
    </w:p>
    <w:p w14:paraId="34DCC33E" w14:textId="385B84AC" w:rsidR="000252DE" w:rsidRDefault="000252DE" w:rsidP="000A1C1D"/>
    <w:bookmarkStart w:id="4" w:name="_MON_1267941692"/>
    <w:bookmarkEnd w:id="4"/>
    <w:bookmarkStart w:id="5" w:name="_MON_1289914515"/>
    <w:bookmarkEnd w:id="5"/>
    <w:p w14:paraId="29FD9107" w14:textId="3282EF2E" w:rsidR="000252DE" w:rsidRDefault="000252DE" w:rsidP="000A1C1D">
      <w:r w:rsidRPr="00D05729">
        <w:object w:dxaOrig="7574" w:dyaOrig="2534" w14:anchorId="61F29675">
          <v:shape id="_x0000_i1026" type="#_x0000_t75" style="width:351.85pt;height:118.2pt" o:ole="">
            <v:imagedata r:id="rId16" o:title=""/>
          </v:shape>
          <o:OLEObject Type="Embed" ProgID="Word.Picture.8" ShapeID="_x0000_i1026" DrawAspect="Content" ObjectID="_1559160232" r:id="rId17"/>
        </w:object>
      </w:r>
    </w:p>
    <w:p w14:paraId="746DDCF9" w14:textId="72E7ACAE" w:rsidR="000252DE" w:rsidRDefault="000252DE" w:rsidP="00AF7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RRC Connection Request</w:t>
      </w:r>
    </w:p>
    <w:p w14:paraId="11F2D763" w14:textId="7465DD27" w:rsidR="00A42235" w:rsidRDefault="000252DE" w:rsidP="000A1C1D">
      <w:r>
        <w:t xml:space="preserve">In LTE, the reject procedure follows </w:t>
      </w:r>
      <w:r w:rsidR="004E4265">
        <w:t>Msg</w:t>
      </w:r>
      <w:r>
        <w:t xml:space="preserve">3 and in this situation, the only information that the network can base a reject decision on is the establishment cause. For NR, establishment cause has not been extensively addressed, but it </w:t>
      </w:r>
      <w:r w:rsidR="00C3323B">
        <w:t>is</w:t>
      </w:r>
      <w:r w:rsidR="004E4265">
        <w:t xml:space="preserve"> </w:t>
      </w:r>
      <w:r w:rsidR="00C3323B">
        <w:t>assumed</w:t>
      </w:r>
      <w:r>
        <w:t xml:space="preserve"> that </w:t>
      </w:r>
      <w:r w:rsidR="004E4265">
        <w:t>Msg</w:t>
      </w:r>
      <w:r>
        <w:t xml:space="preserve">3 or its equivalent in NR will also include </w:t>
      </w:r>
      <w:r w:rsidR="00C3323B">
        <w:t xml:space="preserve">some kind of </w:t>
      </w:r>
      <w:r w:rsidR="00A42235">
        <w:t>establishment cause</w:t>
      </w:r>
      <w:r w:rsidR="00C3323B">
        <w:t xml:space="preserve"> or reason for access</w:t>
      </w:r>
      <w:r w:rsidR="00A42235">
        <w:t>. Thus we think that for NR, the Connection Reject will also be used as a congestion action</w:t>
      </w:r>
      <w:r w:rsidR="002F3C60">
        <w:t>.</w:t>
      </w:r>
    </w:p>
    <w:p w14:paraId="7510E08C" w14:textId="77777777" w:rsidR="002F3C60" w:rsidRDefault="002F3C60" w:rsidP="000A1C1D"/>
    <w:p w14:paraId="1061C841" w14:textId="77777777" w:rsidR="00A42235" w:rsidRPr="000A1C1D" w:rsidRDefault="00A42235" w:rsidP="00A42235">
      <w:pPr>
        <w:pStyle w:val="Observation"/>
      </w:pPr>
      <w:bookmarkStart w:id="6" w:name="_Toc477949037"/>
      <w:bookmarkStart w:id="7" w:name="_Toc477949038"/>
      <w:bookmarkStart w:id="8" w:name="_Toc478109418"/>
      <w:bookmarkStart w:id="9" w:name="_Toc478116983"/>
      <w:bookmarkStart w:id="10" w:name="_Toc478161561"/>
      <w:bookmarkStart w:id="11" w:name="_Toc481776427"/>
      <w:bookmarkStart w:id="12" w:name="_Toc481777016"/>
      <w:bookmarkStart w:id="13" w:name="_Toc481777159"/>
      <w:bookmarkStart w:id="14" w:name="_Toc485418240"/>
      <w:bookmarkEnd w:id="6"/>
      <w:r w:rsidRPr="000A1C1D">
        <w:t xml:space="preserve">NR can use </w:t>
      </w:r>
      <w:r>
        <w:t>Connection Release and Reject as congestion tools in a similar way as in LTE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1AD6C84" w14:textId="796900CD" w:rsidR="008548C3" w:rsidRDefault="008548C3" w:rsidP="00AF724D">
      <w:pPr>
        <w:pStyle w:val="B1"/>
        <w:ind w:left="0" w:firstLine="0"/>
      </w:pPr>
    </w:p>
    <w:p w14:paraId="4C50BE38" w14:textId="408612D3" w:rsidR="000252DE" w:rsidRDefault="000252DE" w:rsidP="00AF724D">
      <w:pPr>
        <w:pStyle w:val="Heading2"/>
      </w:pPr>
      <w:r>
        <w:t>Wait-timers</w:t>
      </w:r>
    </w:p>
    <w:p w14:paraId="193CFBAC" w14:textId="72D3F1F5" w:rsidR="00A42235" w:rsidRDefault="00A42235" w:rsidP="002F3C60">
      <w:r>
        <w:t xml:space="preserve">For </w:t>
      </w:r>
      <w:r w:rsidR="00E657AF">
        <w:t xml:space="preserve">RRC </w:t>
      </w:r>
      <w:r>
        <w:t>Connection Reje</w:t>
      </w:r>
      <w:r w:rsidR="00E657AF">
        <w:t>ct</w:t>
      </w:r>
      <w:r w:rsidR="00C3323B">
        <w:t xml:space="preserve"> in LTE</w:t>
      </w:r>
      <w:r w:rsidR="00E657AF">
        <w:t>, 36.331 describe the use of T302 and the extendedWaitTime:</w:t>
      </w:r>
    </w:p>
    <w:p w14:paraId="3D99560C" w14:textId="77777777" w:rsidR="00E657AF" w:rsidRPr="00D05729" w:rsidRDefault="00E657AF" w:rsidP="00E657AF">
      <w:pPr>
        <w:pStyle w:val="B1"/>
      </w:pPr>
      <w:r>
        <w:t xml:space="preserve">except for NB-IoT, </w:t>
      </w:r>
      <w:r w:rsidRPr="00D05729">
        <w:t xml:space="preserve">start timer T302, with the timer value set to the </w:t>
      </w:r>
      <w:r w:rsidRPr="00D05729">
        <w:rPr>
          <w:i/>
        </w:rPr>
        <w:t>waitTime</w:t>
      </w:r>
      <w:r w:rsidRPr="00D05729">
        <w:t>;</w:t>
      </w:r>
    </w:p>
    <w:p w14:paraId="3E86E639" w14:textId="77777777" w:rsidR="00E657AF" w:rsidRPr="00AF724D" w:rsidRDefault="00E657AF" w:rsidP="00E657AF">
      <w:pPr>
        <w:pStyle w:val="B1"/>
        <w:rPr>
          <w:highlight w:val="lightGray"/>
        </w:rPr>
      </w:pPr>
      <w:r w:rsidRPr="00AF724D">
        <w:rPr>
          <w:highlight w:val="lightGray"/>
        </w:rPr>
        <w:t>1&gt;</w:t>
      </w:r>
      <w:r w:rsidRPr="00AF724D">
        <w:rPr>
          <w:highlight w:val="lightGray"/>
        </w:rPr>
        <w:tab/>
        <w:t>if the UE is a NB-IoT UE; or</w:t>
      </w:r>
    </w:p>
    <w:p w14:paraId="583AE6B5" w14:textId="77777777" w:rsidR="00E657AF" w:rsidRPr="00AF724D" w:rsidRDefault="00E657AF" w:rsidP="00E657AF">
      <w:pPr>
        <w:pStyle w:val="B1"/>
        <w:rPr>
          <w:highlight w:val="lightGray"/>
        </w:rPr>
      </w:pPr>
      <w:r w:rsidRPr="00AF724D">
        <w:rPr>
          <w:highlight w:val="lightGray"/>
        </w:rPr>
        <w:t>1&gt;</w:t>
      </w:r>
      <w:r w:rsidRPr="00AF724D">
        <w:rPr>
          <w:highlight w:val="lightGray"/>
        </w:rPr>
        <w:tab/>
      </w:r>
      <w:r w:rsidRPr="00AF724D">
        <w:rPr>
          <w:rStyle w:val="Emphasis"/>
          <w:i w:val="0"/>
          <w:highlight w:val="lightGray"/>
        </w:rPr>
        <w:t xml:space="preserve">if </w:t>
      </w:r>
      <w:r w:rsidRPr="00AF724D">
        <w:rPr>
          <w:highlight w:val="lightGray"/>
        </w:rPr>
        <w:t xml:space="preserve">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is present</w:t>
      </w:r>
      <w:r w:rsidRPr="00AF724D">
        <w:rPr>
          <w:rStyle w:val="Emphasis"/>
          <w:i w:val="0"/>
          <w:highlight w:val="lightGray"/>
        </w:rPr>
        <w:t xml:space="preserve"> and the UE supports delay tolerant access:</w:t>
      </w:r>
    </w:p>
    <w:p w14:paraId="66B18AF6" w14:textId="77777777" w:rsidR="00E657AF" w:rsidRPr="00D05729" w:rsidRDefault="00E657AF" w:rsidP="00E657AF">
      <w:pPr>
        <w:pStyle w:val="B2"/>
      </w:pPr>
      <w:r w:rsidRPr="00AF724D">
        <w:rPr>
          <w:highlight w:val="lightGray"/>
        </w:rPr>
        <w:t>2&gt;</w:t>
      </w:r>
      <w:r w:rsidRPr="00AF724D">
        <w:rPr>
          <w:highlight w:val="lightGray"/>
        </w:rPr>
        <w:tab/>
        <w:t xml:space="preserve">forward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to upper layers;</w:t>
      </w:r>
    </w:p>
    <w:p w14:paraId="65D904F2" w14:textId="1F530CB8" w:rsidR="00E657AF" w:rsidRDefault="00E657AF" w:rsidP="002F3C60">
      <w:r>
        <w:t xml:space="preserve">Further, for RRC Connection Release, only the extendedWaitTime is applicable and is described as: </w:t>
      </w:r>
    </w:p>
    <w:p w14:paraId="501BBDD1" w14:textId="77777777" w:rsidR="00E657AF" w:rsidRDefault="00E657AF" w:rsidP="002F3C60"/>
    <w:p w14:paraId="202FA3B2" w14:textId="66211379" w:rsidR="00E657AF" w:rsidRPr="00AF724D" w:rsidRDefault="00E657AF" w:rsidP="00E657AF">
      <w:pPr>
        <w:pStyle w:val="B2"/>
        <w:rPr>
          <w:highlight w:val="lightGray"/>
        </w:rPr>
      </w:pPr>
      <w:r w:rsidRPr="00AF724D">
        <w:rPr>
          <w:highlight w:val="lightGray"/>
        </w:rPr>
        <w:t>2&gt;</w:t>
      </w:r>
      <w:r w:rsidRPr="00AF724D">
        <w:rPr>
          <w:highlight w:val="lightGray"/>
        </w:rPr>
        <w:tab/>
        <w:t xml:space="preserve">if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is present; and</w:t>
      </w:r>
    </w:p>
    <w:p w14:paraId="5EA79C62" w14:textId="77777777" w:rsidR="00E657AF" w:rsidRPr="00AF724D" w:rsidRDefault="00E657AF" w:rsidP="00E657AF">
      <w:pPr>
        <w:pStyle w:val="B2"/>
        <w:rPr>
          <w:highlight w:val="lightGray"/>
        </w:rPr>
      </w:pPr>
      <w:r w:rsidRPr="00AF724D">
        <w:rPr>
          <w:highlight w:val="lightGray"/>
        </w:rPr>
        <w:lastRenderedPageBreak/>
        <w:t>2&gt;</w:t>
      </w:r>
      <w:r w:rsidRPr="00AF724D">
        <w:rPr>
          <w:highlight w:val="lightGray"/>
        </w:rPr>
        <w:tab/>
        <w:t>if the UE supports delay tolerant access or the UE is a NB-IoT UE:</w:t>
      </w:r>
    </w:p>
    <w:p w14:paraId="5F2748B2" w14:textId="77777777" w:rsidR="00E657AF" w:rsidRPr="00D05729" w:rsidRDefault="00E657AF" w:rsidP="00E657AF">
      <w:pPr>
        <w:pStyle w:val="B3"/>
      </w:pPr>
      <w:r w:rsidRPr="00AF724D">
        <w:rPr>
          <w:highlight w:val="lightGray"/>
        </w:rPr>
        <w:t>3&gt;</w:t>
      </w:r>
      <w:r w:rsidRPr="00AF724D">
        <w:rPr>
          <w:highlight w:val="lightGray"/>
        </w:rPr>
        <w:tab/>
        <w:t xml:space="preserve">forward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to upper layers;</w:t>
      </w:r>
    </w:p>
    <w:p w14:paraId="50134959" w14:textId="00AC3F34" w:rsidR="00F464BF" w:rsidRDefault="00F464BF" w:rsidP="00AF724D">
      <w:pPr>
        <w:pStyle w:val="B2"/>
        <w:ind w:left="0" w:firstLine="0"/>
      </w:pPr>
      <w:r>
        <w:t xml:space="preserve">The extendedWaitTime was introduced having in mind machine-type-communication and delay-tolerant access, when there was a </w:t>
      </w:r>
      <w:r w:rsidR="002F3C60">
        <w:t>desire</w:t>
      </w:r>
      <w:r>
        <w:t xml:space="preserve"> to introduce longer wait-times. For NR, we think that the waitTime and the extendedWaitTime could be harmonized and one parameter could be specified</w:t>
      </w:r>
      <w:r w:rsidR="00C50652">
        <w:t xml:space="preserve"> and applicable generally</w:t>
      </w:r>
      <w:r>
        <w:t>, for example with the range similar to the extendedWaitTime value</w:t>
      </w:r>
      <w:r w:rsidR="00AF724D">
        <w:t>, to also support delay tolerant services</w:t>
      </w:r>
      <w:r>
        <w:t>.</w:t>
      </w:r>
      <w:r w:rsidR="00C50652">
        <w:t xml:space="preserve"> The same waitTime value could be used both from an RRC perspective as well as to forward to upper layers.</w:t>
      </w:r>
    </w:p>
    <w:p w14:paraId="5485A7EC" w14:textId="2AD4544D" w:rsidR="00F464BF" w:rsidRPr="00B343FA" w:rsidRDefault="00C50652" w:rsidP="00F464BF">
      <w:pPr>
        <w:pStyle w:val="Proposal"/>
      </w:pPr>
      <w:bookmarkStart w:id="15" w:name="_Toc477949039"/>
      <w:bookmarkStart w:id="16" w:name="_Toc478109420"/>
      <w:bookmarkStart w:id="17" w:name="_Toc478116984"/>
      <w:bookmarkStart w:id="18" w:name="_Toc478117033"/>
      <w:bookmarkStart w:id="19" w:name="_Toc478161558"/>
      <w:bookmarkStart w:id="20" w:name="_Toc481776430"/>
      <w:bookmarkStart w:id="21" w:name="_Toc481777018"/>
      <w:bookmarkStart w:id="22" w:name="_Toc481777161"/>
      <w:bookmarkStart w:id="23" w:name="_Toc485418242"/>
      <w:r>
        <w:t>Speficy only one</w:t>
      </w:r>
      <w:r w:rsidR="00F464BF" w:rsidRPr="000A1C1D">
        <w:t xml:space="preserve"> waitTime parameter for NR</w:t>
      </w:r>
      <w:bookmarkEnd w:id="15"/>
      <w:r w:rsidR="00C3323B">
        <w:t xml:space="preserve">, </w:t>
      </w:r>
      <w:r w:rsidR="00EC72A5">
        <w:t>applicable for all types of services</w:t>
      </w:r>
      <w:bookmarkEnd w:id="16"/>
      <w:r w:rsidR="00ED2853">
        <w:t xml:space="preserve"> to be included in RRCConnectionRelease and RRCConnectionReject</w:t>
      </w:r>
      <w:r w:rsidR="00EC72A5">
        <w:t>.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E7E8AF1" w14:textId="6A0D1F1B" w:rsidR="00F60494" w:rsidRPr="000A1C1D" w:rsidRDefault="00F60494" w:rsidP="00AB7879"/>
    <w:p w14:paraId="4F3C1114" w14:textId="77777777" w:rsidR="00C01F33" w:rsidRPr="000A1C1D" w:rsidRDefault="00C01F33" w:rsidP="00CE0424">
      <w:pPr>
        <w:pStyle w:val="Heading1"/>
      </w:pPr>
      <w:r w:rsidRPr="000A1C1D">
        <w:t>Conclusion</w:t>
      </w:r>
    </w:p>
    <w:p w14:paraId="066BDABF" w14:textId="6B091DCA" w:rsidR="008E065E" w:rsidRPr="000A1C1D" w:rsidRDefault="00D93CE6" w:rsidP="00311702">
      <w:r w:rsidRPr="000A1C1D">
        <w:t xml:space="preserve">In this paper, we have </w:t>
      </w:r>
      <w:r w:rsidR="00655249">
        <w:t>discussed the applicability of different congestion actions in NR.</w:t>
      </w:r>
    </w:p>
    <w:p w14:paraId="17625A75" w14:textId="0F23DEDE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made the following observations:</w:t>
      </w:r>
    </w:p>
    <w:p w14:paraId="285C39AC" w14:textId="77777777" w:rsidR="008F3259" w:rsidRPr="008F3259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\t "Observation;1" </w:instrText>
      </w:r>
      <w:r w:rsidRPr="000A1C1D">
        <w:rPr>
          <w:b w:val="0"/>
          <w:bCs/>
        </w:rPr>
        <w:fldChar w:fldCharType="separate"/>
      </w:r>
      <w:r w:rsidR="008F3259">
        <w:t>Observation 1</w:t>
      </w:r>
      <w:r w:rsidR="008F3259" w:rsidRPr="008F325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F3259">
        <w:t>NR can use Connection Release and Reject as congestion tools in a similar way as in LTE</w:t>
      </w:r>
    </w:p>
    <w:p w14:paraId="7A6258C7" w14:textId="716AC6DE" w:rsidR="008E065E" w:rsidRPr="000A1C1D" w:rsidRDefault="008E065E" w:rsidP="008E065E">
      <w:pPr>
        <w:pStyle w:val="BodyText"/>
        <w:rPr>
          <w:b/>
          <w:bCs/>
        </w:rPr>
      </w:pPr>
      <w:r w:rsidRPr="000A1C1D">
        <w:rPr>
          <w:b/>
          <w:bCs/>
        </w:rPr>
        <w:fldChar w:fldCharType="end"/>
      </w:r>
    </w:p>
    <w:p w14:paraId="0C7880EF" w14:textId="02ED0DBB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Based on the discussion 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propose the following:</w:t>
      </w:r>
    </w:p>
    <w:p w14:paraId="09D43359" w14:textId="77777777" w:rsidR="008F3259" w:rsidRPr="008F3259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\p " " \t "Proposal;1" </w:instrText>
      </w:r>
      <w:r w:rsidRPr="000A1C1D">
        <w:rPr>
          <w:b w:val="0"/>
          <w:bCs/>
        </w:rPr>
        <w:fldChar w:fldCharType="separate"/>
      </w:r>
      <w:r w:rsidR="008F3259">
        <w:t>Proposal 1</w:t>
      </w:r>
      <w:r w:rsidR="008F3259" w:rsidRPr="008F325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F3259">
        <w:t>Speficy only one waitTime parameter for NR, applicable for all types of services to be included in RRCConnectionRelease and RRCConnectionReject.</w:t>
      </w:r>
    </w:p>
    <w:p w14:paraId="7B9454D3" w14:textId="3A848AF9" w:rsidR="003A7EF3" w:rsidRPr="000A1C1D" w:rsidRDefault="008E065E" w:rsidP="00FC653F">
      <w:r w:rsidRPr="000A1C1D">
        <w:rPr>
          <w:b/>
          <w:bCs/>
        </w:rPr>
        <w:fldChar w:fldCharType="end"/>
      </w:r>
      <w:bookmarkStart w:id="24" w:name="_In-sequence_SDU_delivery"/>
      <w:bookmarkEnd w:id="24"/>
    </w:p>
    <w:sectPr w:rsidR="003A7EF3" w:rsidRPr="000A1C1D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75750" w14:textId="77777777" w:rsidR="00346597" w:rsidRDefault="00346597">
      <w:r>
        <w:separator/>
      </w:r>
    </w:p>
  </w:endnote>
  <w:endnote w:type="continuationSeparator" w:id="0">
    <w:p w14:paraId="1F01E41C" w14:textId="77777777" w:rsidR="00346597" w:rsidRDefault="00346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74D2F" w14:textId="727FB57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513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513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AF0B2" w14:textId="77777777" w:rsidR="00346597" w:rsidRDefault="00346597">
      <w:r>
        <w:separator/>
      </w:r>
    </w:p>
  </w:footnote>
  <w:footnote w:type="continuationSeparator" w:id="0">
    <w:p w14:paraId="6D7B011D" w14:textId="77777777" w:rsidR="00346597" w:rsidRDefault="00346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61A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20608E"/>
    <w:multiLevelType w:val="hybridMultilevel"/>
    <w:tmpl w:val="A8347A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4BD40">
      <w:numFmt w:val="bullet"/>
      <w:lvlText w:val="-"/>
      <w:lvlJc w:val="left"/>
      <w:pPr>
        <w:ind w:left="1650" w:hanging="570"/>
      </w:pPr>
      <w:rPr>
        <w:rFonts w:ascii="Arial" w:eastAsia="MS Mincho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67C06"/>
    <w:multiLevelType w:val="hybridMultilevel"/>
    <w:tmpl w:val="7B948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80D"/>
    <w:multiLevelType w:val="hybridMultilevel"/>
    <w:tmpl w:val="F5181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1A24"/>
    <w:multiLevelType w:val="hybridMultilevel"/>
    <w:tmpl w:val="221044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271F3"/>
    <w:multiLevelType w:val="hybridMultilevel"/>
    <w:tmpl w:val="AB1AA8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6"/>
  </w:num>
  <w:num w:numId="15">
    <w:abstractNumId w:val="17"/>
  </w:num>
  <w:num w:numId="16">
    <w:abstractNumId w:val="16"/>
  </w:num>
  <w:num w:numId="17">
    <w:abstractNumId w:val="4"/>
  </w:num>
  <w:num w:numId="18">
    <w:abstractNumId w:val="18"/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23"/>
    <w:rsid w:val="000006E1"/>
    <w:rsid w:val="00002A37"/>
    <w:rsid w:val="00006446"/>
    <w:rsid w:val="00006896"/>
    <w:rsid w:val="00006B58"/>
    <w:rsid w:val="00007CDC"/>
    <w:rsid w:val="00010745"/>
    <w:rsid w:val="00011B28"/>
    <w:rsid w:val="00015D15"/>
    <w:rsid w:val="000252DE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7AC"/>
    <w:rsid w:val="00052A07"/>
    <w:rsid w:val="000534E3"/>
    <w:rsid w:val="00055CFB"/>
    <w:rsid w:val="0005606A"/>
    <w:rsid w:val="00057117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C1D"/>
    <w:rsid w:val="000A56F2"/>
    <w:rsid w:val="000B2719"/>
    <w:rsid w:val="000B3A8F"/>
    <w:rsid w:val="000B4AB9"/>
    <w:rsid w:val="000B58C3"/>
    <w:rsid w:val="000B61E9"/>
    <w:rsid w:val="000B6640"/>
    <w:rsid w:val="000C165A"/>
    <w:rsid w:val="000C2E19"/>
    <w:rsid w:val="000D0D07"/>
    <w:rsid w:val="000D10D9"/>
    <w:rsid w:val="000D4797"/>
    <w:rsid w:val="000E0527"/>
    <w:rsid w:val="000E1E92"/>
    <w:rsid w:val="000E608D"/>
    <w:rsid w:val="000E654B"/>
    <w:rsid w:val="000F026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479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166"/>
    <w:rsid w:val="001461AD"/>
    <w:rsid w:val="00151E23"/>
    <w:rsid w:val="001526E0"/>
    <w:rsid w:val="001551B5"/>
    <w:rsid w:val="001643A8"/>
    <w:rsid w:val="001659C1"/>
    <w:rsid w:val="00173A8E"/>
    <w:rsid w:val="00176890"/>
    <w:rsid w:val="00177795"/>
    <w:rsid w:val="0018143F"/>
    <w:rsid w:val="00190AC1"/>
    <w:rsid w:val="00191AEE"/>
    <w:rsid w:val="0019341A"/>
    <w:rsid w:val="00193CBE"/>
    <w:rsid w:val="0019409E"/>
    <w:rsid w:val="00197DF9"/>
    <w:rsid w:val="001A1987"/>
    <w:rsid w:val="001A2564"/>
    <w:rsid w:val="001A6173"/>
    <w:rsid w:val="001A6CBA"/>
    <w:rsid w:val="001B0D97"/>
    <w:rsid w:val="001B2090"/>
    <w:rsid w:val="001B5A5D"/>
    <w:rsid w:val="001C1CE5"/>
    <w:rsid w:val="001C2E40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369"/>
    <w:rsid w:val="00200490"/>
    <w:rsid w:val="00201F3A"/>
    <w:rsid w:val="00203F96"/>
    <w:rsid w:val="002069B2"/>
    <w:rsid w:val="00206C20"/>
    <w:rsid w:val="00207FA3"/>
    <w:rsid w:val="00213764"/>
    <w:rsid w:val="00214DA8"/>
    <w:rsid w:val="00215423"/>
    <w:rsid w:val="002158FA"/>
    <w:rsid w:val="00220600"/>
    <w:rsid w:val="002224DB"/>
    <w:rsid w:val="00223FCB"/>
    <w:rsid w:val="002252C3"/>
    <w:rsid w:val="002257C5"/>
    <w:rsid w:val="00225C54"/>
    <w:rsid w:val="00230765"/>
    <w:rsid w:val="002319E4"/>
    <w:rsid w:val="00235632"/>
    <w:rsid w:val="00235872"/>
    <w:rsid w:val="00235BFB"/>
    <w:rsid w:val="00241250"/>
    <w:rsid w:val="00241559"/>
    <w:rsid w:val="002435B3"/>
    <w:rsid w:val="002458EB"/>
    <w:rsid w:val="002500C8"/>
    <w:rsid w:val="00250523"/>
    <w:rsid w:val="00257543"/>
    <w:rsid w:val="002617E7"/>
    <w:rsid w:val="00261FC8"/>
    <w:rsid w:val="00264228"/>
    <w:rsid w:val="00264334"/>
    <w:rsid w:val="0026473E"/>
    <w:rsid w:val="00266214"/>
    <w:rsid w:val="00266469"/>
    <w:rsid w:val="00267C83"/>
    <w:rsid w:val="0027144F"/>
    <w:rsid w:val="00271F3A"/>
    <w:rsid w:val="0027259A"/>
    <w:rsid w:val="00272CC6"/>
    <w:rsid w:val="00273278"/>
    <w:rsid w:val="002737F4"/>
    <w:rsid w:val="00277760"/>
    <w:rsid w:val="002805F5"/>
    <w:rsid w:val="00280751"/>
    <w:rsid w:val="0028280A"/>
    <w:rsid w:val="00284B23"/>
    <w:rsid w:val="00284FD3"/>
    <w:rsid w:val="00286ACD"/>
    <w:rsid w:val="00287838"/>
    <w:rsid w:val="002907B5"/>
    <w:rsid w:val="00292EB7"/>
    <w:rsid w:val="00295138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13C"/>
    <w:rsid w:val="002D34B2"/>
    <w:rsid w:val="002D7637"/>
    <w:rsid w:val="002E17F2"/>
    <w:rsid w:val="002E2C10"/>
    <w:rsid w:val="002E7CAE"/>
    <w:rsid w:val="002F2771"/>
    <w:rsid w:val="002F37A9"/>
    <w:rsid w:val="002F3C60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597"/>
    <w:rsid w:val="00346DB5"/>
    <w:rsid w:val="003477B1"/>
    <w:rsid w:val="0035482C"/>
    <w:rsid w:val="00356653"/>
    <w:rsid w:val="00357380"/>
    <w:rsid w:val="003602D9"/>
    <w:rsid w:val="003604CE"/>
    <w:rsid w:val="00370E47"/>
    <w:rsid w:val="003742AC"/>
    <w:rsid w:val="00377CE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31"/>
    <w:rsid w:val="003D2FC4"/>
    <w:rsid w:val="003D3C45"/>
    <w:rsid w:val="003D5B1F"/>
    <w:rsid w:val="003E15FA"/>
    <w:rsid w:val="003E55E4"/>
    <w:rsid w:val="003E74E3"/>
    <w:rsid w:val="003E75BA"/>
    <w:rsid w:val="003F05C7"/>
    <w:rsid w:val="003F2489"/>
    <w:rsid w:val="003F2CD4"/>
    <w:rsid w:val="003F6BBE"/>
    <w:rsid w:val="004000E8"/>
    <w:rsid w:val="004022A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78F"/>
    <w:rsid w:val="004242F4"/>
    <w:rsid w:val="00427248"/>
    <w:rsid w:val="00437447"/>
    <w:rsid w:val="00440A01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1ECD"/>
    <w:rsid w:val="004734D0"/>
    <w:rsid w:val="0047556B"/>
    <w:rsid w:val="00477565"/>
    <w:rsid w:val="00477768"/>
    <w:rsid w:val="00477BF4"/>
    <w:rsid w:val="00492BC5"/>
    <w:rsid w:val="004964F1"/>
    <w:rsid w:val="004A16BC"/>
    <w:rsid w:val="004A2B94"/>
    <w:rsid w:val="004B0082"/>
    <w:rsid w:val="004B1655"/>
    <w:rsid w:val="004B7888"/>
    <w:rsid w:val="004B7C0C"/>
    <w:rsid w:val="004C3898"/>
    <w:rsid w:val="004C3CF5"/>
    <w:rsid w:val="004C412D"/>
    <w:rsid w:val="004D36B1"/>
    <w:rsid w:val="004D7EBD"/>
    <w:rsid w:val="004E2680"/>
    <w:rsid w:val="004E28F9"/>
    <w:rsid w:val="004E4265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4A1E"/>
    <w:rsid w:val="005153A7"/>
    <w:rsid w:val="005219CF"/>
    <w:rsid w:val="00531534"/>
    <w:rsid w:val="005338D0"/>
    <w:rsid w:val="00534B59"/>
    <w:rsid w:val="00536759"/>
    <w:rsid w:val="00537C62"/>
    <w:rsid w:val="00546970"/>
    <w:rsid w:val="00550CA5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09D4"/>
    <w:rsid w:val="005A209A"/>
    <w:rsid w:val="005A53EE"/>
    <w:rsid w:val="005A662D"/>
    <w:rsid w:val="005B35D7"/>
    <w:rsid w:val="005B392A"/>
    <w:rsid w:val="005B3AA3"/>
    <w:rsid w:val="005B6F83"/>
    <w:rsid w:val="005C74FB"/>
    <w:rsid w:val="005D1602"/>
    <w:rsid w:val="005E282F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1A6D"/>
    <w:rsid w:val="0063284C"/>
    <w:rsid w:val="0063486C"/>
    <w:rsid w:val="00636398"/>
    <w:rsid w:val="006365BB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24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78"/>
    <w:rsid w:val="006771F9"/>
    <w:rsid w:val="006776D7"/>
    <w:rsid w:val="00681003"/>
    <w:rsid w:val="006817C9"/>
    <w:rsid w:val="00683ECE"/>
    <w:rsid w:val="006908D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FAC"/>
    <w:rsid w:val="006C7522"/>
    <w:rsid w:val="006D37B3"/>
    <w:rsid w:val="006D6F08"/>
    <w:rsid w:val="006E062C"/>
    <w:rsid w:val="006E28B7"/>
    <w:rsid w:val="006E3310"/>
    <w:rsid w:val="006E372A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12B6"/>
    <w:rsid w:val="00711DDF"/>
    <w:rsid w:val="00712287"/>
    <w:rsid w:val="00712772"/>
    <w:rsid w:val="007146AF"/>
    <w:rsid w:val="007148D3"/>
    <w:rsid w:val="00715B9A"/>
    <w:rsid w:val="00720D47"/>
    <w:rsid w:val="00721593"/>
    <w:rsid w:val="007245BB"/>
    <w:rsid w:val="0072506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6311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0E5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BA"/>
    <w:rsid w:val="007F2F39"/>
    <w:rsid w:val="007F65DB"/>
    <w:rsid w:val="008016C3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6C1"/>
    <w:rsid w:val="00827D6F"/>
    <w:rsid w:val="00831BCF"/>
    <w:rsid w:val="00837276"/>
    <w:rsid w:val="008376AC"/>
    <w:rsid w:val="00841608"/>
    <w:rsid w:val="008444E8"/>
    <w:rsid w:val="00844E80"/>
    <w:rsid w:val="00846FE7"/>
    <w:rsid w:val="00850CEC"/>
    <w:rsid w:val="008548C3"/>
    <w:rsid w:val="00856911"/>
    <w:rsid w:val="00865539"/>
    <w:rsid w:val="0086670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46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D6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635"/>
    <w:rsid w:val="008E5CE1"/>
    <w:rsid w:val="008F1EAB"/>
    <w:rsid w:val="008F3259"/>
    <w:rsid w:val="008F33DC"/>
    <w:rsid w:val="008F477F"/>
    <w:rsid w:val="008F4F82"/>
    <w:rsid w:val="008F60FC"/>
    <w:rsid w:val="00902350"/>
    <w:rsid w:val="0090336B"/>
    <w:rsid w:val="009053AA"/>
    <w:rsid w:val="00906939"/>
    <w:rsid w:val="009105D3"/>
    <w:rsid w:val="00910B7D"/>
    <w:rsid w:val="00911DFB"/>
    <w:rsid w:val="009139D9"/>
    <w:rsid w:val="00914AD8"/>
    <w:rsid w:val="0091513D"/>
    <w:rsid w:val="00916079"/>
    <w:rsid w:val="00917CE9"/>
    <w:rsid w:val="00920BF2"/>
    <w:rsid w:val="00922010"/>
    <w:rsid w:val="00927117"/>
    <w:rsid w:val="00931BD9"/>
    <w:rsid w:val="009368F3"/>
    <w:rsid w:val="00941636"/>
    <w:rsid w:val="00943742"/>
    <w:rsid w:val="00945C05"/>
    <w:rsid w:val="00946945"/>
    <w:rsid w:val="00947713"/>
    <w:rsid w:val="00950DE7"/>
    <w:rsid w:val="009513A1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400"/>
    <w:rsid w:val="0097603D"/>
    <w:rsid w:val="00976949"/>
    <w:rsid w:val="00980477"/>
    <w:rsid w:val="00980DB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E5C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2C"/>
    <w:rsid w:val="009E35DB"/>
    <w:rsid w:val="009E47A3"/>
    <w:rsid w:val="009F08F3"/>
    <w:rsid w:val="009F1ECE"/>
    <w:rsid w:val="009F344F"/>
    <w:rsid w:val="00A0068E"/>
    <w:rsid w:val="00A02487"/>
    <w:rsid w:val="00A048A8"/>
    <w:rsid w:val="00A04F49"/>
    <w:rsid w:val="00A07855"/>
    <w:rsid w:val="00A12D3D"/>
    <w:rsid w:val="00A13E54"/>
    <w:rsid w:val="00A17F63"/>
    <w:rsid w:val="00A2129B"/>
    <w:rsid w:val="00A2193B"/>
    <w:rsid w:val="00A2351A"/>
    <w:rsid w:val="00A264A9"/>
    <w:rsid w:val="00A27785"/>
    <w:rsid w:val="00A30187"/>
    <w:rsid w:val="00A3448A"/>
    <w:rsid w:val="00A36297"/>
    <w:rsid w:val="00A41E2B"/>
    <w:rsid w:val="00A42235"/>
    <w:rsid w:val="00A45B74"/>
    <w:rsid w:val="00A52E1D"/>
    <w:rsid w:val="00A553D4"/>
    <w:rsid w:val="00A57B4C"/>
    <w:rsid w:val="00A61499"/>
    <w:rsid w:val="00A62A77"/>
    <w:rsid w:val="00A63483"/>
    <w:rsid w:val="00A657D7"/>
    <w:rsid w:val="00A660AC"/>
    <w:rsid w:val="00A67E6C"/>
    <w:rsid w:val="00A71B99"/>
    <w:rsid w:val="00A739D0"/>
    <w:rsid w:val="00A740D6"/>
    <w:rsid w:val="00A761D4"/>
    <w:rsid w:val="00A77EC4"/>
    <w:rsid w:val="00A92879"/>
    <w:rsid w:val="00A9442A"/>
    <w:rsid w:val="00A963E3"/>
    <w:rsid w:val="00AA016F"/>
    <w:rsid w:val="00AA1ED6"/>
    <w:rsid w:val="00AA4710"/>
    <w:rsid w:val="00AA51D6"/>
    <w:rsid w:val="00AB0BC8"/>
    <w:rsid w:val="00AB11CA"/>
    <w:rsid w:val="00AB14D9"/>
    <w:rsid w:val="00AB4AB8"/>
    <w:rsid w:val="00AB5B99"/>
    <w:rsid w:val="00AB655E"/>
    <w:rsid w:val="00AB70A7"/>
    <w:rsid w:val="00AB7879"/>
    <w:rsid w:val="00AC007F"/>
    <w:rsid w:val="00AC2ECD"/>
    <w:rsid w:val="00AC3119"/>
    <w:rsid w:val="00AC49FB"/>
    <w:rsid w:val="00AC5A10"/>
    <w:rsid w:val="00AC5CD9"/>
    <w:rsid w:val="00AD0AA3"/>
    <w:rsid w:val="00AD3F94"/>
    <w:rsid w:val="00AD43D2"/>
    <w:rsid w:val="00AD48D5"/>
    <w:rsid w:val="00AD4A5A"/>
    <w:rsid w:val="00AE27AC"/>
    <w:rsid w:val="00AE40E0"/>
    <w:rsid w:val="00AE4DBA"/>
    <w:rsid w:val="00AE4F07"/>
    <w:rsid w:val="00AF1C5D"/>
    <w:rsid w:val="00AF42D7"/>
    <w:rsid w:val="00AF724D"/>
    <w:rsid w:val="00B006FE"/>
    <w:rsid w:val="00B007CB"/>
    <w:rsid w:val="00B02AA9"/>
    <w:rsid w:val="00B02FA3"/>
    <w:rsid w:val="00B05084"/>
    <w:rsid w:val="00B1179C"/>
    <w:rsid w:val="00B157F9"/>
    <w:rsid w:val="00B167F1"/>
    <w:rsid w:val="00B20256"/>
    <w:rsid w:val="00B20D09"/>
    <w:rsid w:val="00B2763F"/>
    <w:rsid w:val="00B27AAC"/>
    <w:rsid w:val="00B30929"/>
    <w:rsid w:val="00B343FA"/>
    <w:rsid w:val="00B372AA"/>
    <w:rsid w:val="00B40445"/>
    <w:rsid w:val="00B41888"/>
    <w:rsid w:val="00B42BDB"/>
    <w:rsid w:val="00B45A52"/>
    <w:rsid w:val="00B46175"/>
    <w:rsid w:val="00B54C41"/>
    <w:rsid w:val="00B62AAA"/>
    <w:rsid w:val="00B62DBC"/>
    <w:rsid w:val="00B63D4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ED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23B"/>
    <w:rsid w:val="00C3719D"/>
    <w:rsid w:val="00C50652"/>
    <w:rsid w:val="00C519BE"/>
    <w:rsid w:val="00C54995"/>
    <w:rsid w:val="00C54D41"/>
    <w:rsid w:val="00C60783"/>
    <w:rsid w:val="00C64672"/>
    <w:rsid w:val="00C67EAE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5BB"/>
    <w:rsid w:val="00CC3EA0"/>
    <w:rsid w:val="00CC6703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8C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E96"/>
    <w:rsid w:val="00D239A7"/>
    <w:rsid w:val="00D23F47"/>
    <w:rsid w:val="00D241F3"/>
    <w:rsid w:val="00D3005B"/>
    <w:rsid w:val="00D30EE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9C1"/>
    <w:rsid w:val="00D70E73"/>
    <w:rsid w:val="00D732EC"/>
    <w:rsid w:val="00D77B1D"/>
    <w:rsid w:val="00D8021F"/>
    <w:rsid w:val="00D80383"/>
    <w:rsid w:val="00D823C6"/>
    <w:rsid w:val="00D86CA3"/>
    <w:rsid w:val="00D871CE"/>
    <w:rsid w:val="00D9196D"/>
    <w:rsid w:val="00D91C37"/>
    <w:rsid w:val="00D92982"/>
    <w:rsid w:val="00D93CE6"/>
    <w:rsid w:val="00DA305E"/>
    <w:rsid w:val="00DA5007"/>
    <w:rsid w:val="00DA5417"/>
    <w:rsid w:val="00DA56E8"/>
    <w:rsid w:val="00DB090C"/>
    <w:rsid w:val="00DB0A9F"/>
    <w:rsid w:val="00DB377D"/>
    <w:rsid w:val="00DC2D36"/>
    <w:rsid w:val="00DC53EF"/>
    <w:rsid w:val="00DE435B"/>
    <w:rsid w:val="00DE44F6"/>
    <w:rsid w:val="00DE5608"/>
    <w:rsid w:val="00DE58D0"/>
    <w:rsid w:val="00DE654F"/>
    <w:rsid w:val="00DF0B6E"/>
    <w:rsid w:val="00DF0CA1"/>
    <w:rsid w:val="00DF15E0"/>
    <w:rsid w:val="00DF37A0"/>
    <w:rsid w:val="00DF5C56"/>
    <w:rsid w:val="00E02A89"/>
    <w:rsid w:val="00E110E7"/>
    <w:rsid w:val="00E11B20"/>
    <w:rsid w:val="00E17FA2"/>
    <w:rsid w:val="00E22330"/>
    <w:rsid w:val="00E30B5A"/>
    <w:rsid w:val="00E3123D"/>
    <w:rsid w:val="00E31461"/>
    <w:rsid w:val="00E31D43"/>
    <w:rsid w:val="00E3241A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8FE"/>
    <w:rsid w:val="00E47AEF"/>
    <w:rsid w:val="00E53B75"/>
    <w:rsid w:val="00E54D82"/>
    <w:rsid w:val="00E54E3B"/>
    <w:rsid w:val="00E55285"/>
    <w:rsid w:val="00E57565"/>
    <w:rsid w:val="00E63838"/>
    <w:rsid w:val="00E64434"/>
    <w:rsid w:val="00E657AF"/>
    <w:rsid w:val="00E67C51"/>
    <w:rsid w:val="00E72EFC"/>
    <w:rsid w:val="00E758EC"/>
    <w:rsid w:val="00E8234C"/>
    <w:rsid w:val="00E82BD6"/>
    <w:rsid w:val="00E83AA9"/>
    <w:rsid w:val="00E85928"/>
    <w:rsid w:val="00E85D5C"/>
    <w:rsid w:val="00E86B7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C72A5"/>
    <w:rsid w:val="00ED1006"/>
    <w:rsid w:val="00ED2853"/>
    <w:rsid w:val="00EE111C"/>
    <w:rsid w:val="00EF18FE"/>
    <w:rsid w:val="00EF5787"/>
    <w:rsid w:val="00EF60D0"/>
    <w:rsid w:val="00F0528D"/>
    <w:rsid w:val="00F06C67"/>
    <w:rsid w:val="00F06DFD"/>
    <w:rsid w:val="00F071D1"/>
    <w:rsid w:val="00F07533"/>
    <w:rsid w:val="00F07FCC"/>
    <w:rsid w:val="00F10629"/>
    <w:rsid w:val="00F142A1"/>
    <w:rsid w:val="00F15FA5"/>
    <w:rsid w:val="00F209B7"/>
    <w:rsid w:val="00F2376F"/>
    <w:rsid w:val="00F243D8"/>
    <w:rsid w:val="00F30828"/>
    <w:rsid w:val="00F313D6"/>
    <w:rsid w:val="00F40F0C"/>
    <w:rsid w:val="00F464BF"/>
    <w:rsid w:val="00F4766C"/>
    <w:rsid w:val="00F507D1"/>
    <w:rsid w:val="00F519CE"/>
    <w:rsid w:val="00F51ADA"/>
    <w:rsid w:val="00F60494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1C35"/>
    <w:rsid w:val="00F8456C"/>
    <w:rsid w:val="00F85220"/>
    <w:rsid w:val="00F859D8"/>
    <w:rsid w:val="00F868F5"/>
    <w:rsid w:val="00F90232"/>
    <w:rsid w:val="00F9056A"/>
    <w:rsid w:val="00F90F8D"/>
    <w:rsid w:val="00F92782"/>
    <w:rsid w:val="00F93AA9"/>
    <w:rsid w:val="00F96985"/>
    <w:rsid w:val="00F97838"/>
    <w:rsid w:val="00FA2BB3"/>
    <w:rsid w:val="00FA2E09"/>
    <w:rsid w:val="00FB4C80"/>
    <w:rsid w:val="00FB6A6A"/>
    <w:rsid w:val="00FC4AD0"/>
    <w:rsid w:val="00FC653F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A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09600"/>
  <w15:docId w15:val="{26AC1836-A8FA-4455-817C-9E1284240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112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7112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112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112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112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112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12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12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12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12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112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12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112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12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12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12B6"/>
    <w:pPr>
      <w:ind w:left="1418" w:hanging="1418"/>
    </w:pPr>
  </w:style>
  <w:style w:type="paragraph" w:styleId="TOC3">
    <w:name w:val="toc 3"/>
    <w:basedOn w:val="TOC2"/>
    <w:semiHidden/>
    <w:rsid w:val="007112B6"/>
    <w:pPr>
      <w:ind w:left="1134" w:hanging="1134"/>
    </w:pPr>
  </w:style>
  <w:style w:type="paragraph" w:styleId="TOC2">
    <w:name w:val="toc 2"/>
    <w:basedOn w:val="TOC1"/>
    <w:semiHidden/>
    <w:rsid w:val="007112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12B6"/>
    <w:pPr>
      <w:ind w:left="284"/>
    </w:pPr>
  </w:style>
  <w:style w:type="paragraph" w:styleId="Index1">
    <w:name w:val="index 1"/>
    <w:basedOn w:val="Normal"/>
    <w:semiHidden/>
    <w:rsid w:val="007112B6"/>
    <w:pPr>
      <w:keepLines/>
      <w:spacing w:after="0"/>
    </w:pPr>
  </w:style>
  <w:style w:type="paragraph" w:styleId="DocumentMap">
    <w:name w:val="Document Map"/>
    <w:basedOn w:val="Normal"/>
    <w:semiHidden/>
    <w:rsid w:val="007112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12B6"/>
    <w:pPr>
      <w:ind w:left="851"/>
    </w:pPr>
  </w:style>
  <w:style w:type="paragraph" w:styleId="ListNumber">
    <w:name w:val="List Number"/>
    <w:basedOn w:val="List"/>
    <w:rsid w:val="007112B6"/>
  </w:style>
  <w:style w:type="paragraph" w:styleId="List">
    <w:name w:val="List"/>
    <w:basedOn w:val="Normal"/>
    <w:rsid w:val="007112B6"/>
    <w:pPr>
      <w:ind w:left="568" w:hanging="284"/>
    </w:pPr>
  </w:style>
  <w:style w:type="paragraph" w:styleId="Header">
    <w:name w:val="header"/>
    <w:rsid w:val="007112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112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12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112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112B6"/>
    <w:pPr>
      <w:ind w:left="1418" w:hanging="1418"/>
    </w:pPr>
  </w:style>
  <w:style w:type="paragraph" w:styleId="TOC6">
    <w:name w:val="toc 6"/>
    <w:basedOn w:val="TOC5"/>
    <w:next w:val="Normal"/>
    <w:semiHidden/>
    <w:rsid w:val="007112B6"/>
    <w:pPr>
      <w:ind w:left="1985" w:hanging="1985"/>
    </w:pPr>
  </w:style>
  <w:style w:type="paragraph" w:styleId="TOC7">
    <w:name w:val="toc 7"/>
    <w:basedOn w:val="TOC6"/>
    <w:next w:val="Normal"/>
    <w:semiHidden/>
    <w:rsid w:val="007112B6"/>
    <w:pPr>
      <w:ind w:left="2268" w:hanging="2268"/>
    </w:pPr>
  </w:style>
  <w:style w:type="paragraph" w:styleId="ListBullet2">
    <w:name w:val="List Bullet 2"/>
    <w:basedOn w:val="ListBullet"/>
    <w:rsid w:val="007112B6"/>
    <w:pPr>
      <w:numPr>
        <w:numId w:val="6"/>
      </w:numPr>
    </w:pPr>
  </w:style>
  <w:style w:type="paragraph" w:styleId="ListBullet">
    <w:name w:val="List Bullet"/>
    <w:basedOn w:val="BodyText"/>
    <w:rsid w:val="007112B6"/>
    <w:pPr>
      <w:numPr>
        <w:numId w:val="5"/>
      </w:numPr>
    </w:pPr>
  </w:style>
  <w:style w:type="paragraph" w:styleId="ListBullet3">
    <w:name w:val="List Bullet 3"/>
    <w:basedOn w:val="ListBullet2"/>
    <w:rsid w:val="007112B6"/>
    <w:pPr>
      <w:numPr>
        <w:numId w:val="7"/>
      </w:numPr>
    </w:pPr>
  </w:style>
  <w:style w:type="paragraph" w:customStyle="1" w:styleId="EQ">
    <w:name w:val="EQ"/>
    <w:basedOn w:val="Normal"/>
    <w:next w:val="Normal"/>
    <w:rsid w:val="007112B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112B6"/>
    <w:pPr>
      <w:ind w:left="851"/>
    </w:pPr>
  </w:style>
  <w:style w:type="paragraph" w:styleId="List3">
    <w:name w:val="List 3"/>
    <w:basedOn w:val="List2"/>
    <w:rsid w:val="007112B6"/>
    <w:pPr>
      <w:ind w:left="1135"/>
    </w:pPr>
  </w:style>
  <w:style w:type="paragraph" w:styleId="List4">
    <w:name w:val="List 4"/>
    <w:basedOn w:val="List3"/>
    <w:rsid w:val="007112B6"/>
    <w:pPr>
      <w:ind w:left="1418"/>
    </w:pPr>
  </w:style>
  <w:style w:type="paragraph" w:styleId="List5">
    <w:name w:val="List 5"/>
    <w:basedOn w:val="List4"/>
    <w:rsid w:val="007112B6"/>
    <w:pPr>
      <w:ind w:left="1702"/>
    </w:pPr>
  </w:style>
  <w:style w:type="paragraph" w:customStyle="1" w:styleId="EditorsNote">
    <w:name w:val="Editor's Note"/>
    <w:basedOn w:val="Normal"/>
    <w:rsid w:val="007112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112B6"/>
    <w:pPr>
      <w:numPr>
        <w:numId w:val="8"/>
      </w:numPr>
    </w:pPr>
  </w:style>
  <w:style w:type="paragraph" w:styleId="ListBullet5">
    <w:name w:val="List Bullet 5"/>
    <w:basedOn w:val="ListBullet4"/>
    <w:rsid w:val="007112B6"/>
    <w:pPr>
      <w:numPr>
        <w:numId w:val="4"/>
      </w:numPr>
    </w:pPr>
  </w:style>
  <w:style w:type="paragraph" w:styleId="Footer">
    <w:name w:val="footer"/>
    <w:basedOn w:val="Header"/>
    <w:semiHidden/>
    <w:rsid w:val="007112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112B6"/>
    <w:pPr>
      <w:numPr>
        <w:numId w:val="2"/>
      </w:numPr>
    </w:pPr>
  </w:style>
  <w:style w:type="paragraph" w:styleId="BalloonText">
    <w:name w:val="Balloon Text"/>
    <w:basedOn w:val="Normal"/>
    <w:semiHidden/>
    <w:rsid w:val="007112B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112B6"/>
  </w:style>
  <w:style w:type="paragraph" w:styleId="BodyText">
    <w:name w:val="Body Text"/>
    <w:basedOn w:val="Normal"/>
    <w:link w:val="BodyTextChar"/>
    <w:rsid w:val="007112B6"/>
  </w:style>
  <w:style w:type="character" w:styleId="Hyperlink">
    <w:name w:val="Hyperlink"/>
    <w:uiPriority w:val="99"/>
    <w:rsid w:val="007112B6"/>
    <w:rPr>
      <w:color w:val="0000FF"/>
      <w:u w:val="single"/>
      <w:lang w:val="en-GB"/>
    </w:rPr>
  </w:style>
  <w:style w:type="character" w:styleId="FollowedHyperlink">
    <w:name w:val="FollowedHyperlink"/>
    <w:semiHidden/>
    <w:rsid w:val="007112B6"/>
    <w:rPr>
      <w:color w:val="FF0000"/>
      <w:u w:val="single"/>
    </w:rPr>
  </w:style>
  <w:style w:type="character" w:styleId="CommentReference">
    <w:name w:val="annotation reference"/>
    <w:semiHidden/>
    <w:rsid w:val="007112B6"/>
    <w:rPr>
      <w:sz w:val="16"/>
      <w:szCs w:val="16"/>
    </w:rPr>
  </w:style>
  <w:style w:type="paragraph" w:styleId="CommentText">
    <w:name w:val="annotation text"/>
    <w:basedOn w:val="Normal"/>
    <w:semiHidden/>
    <w:rsid w:val="007112B6"/>
  </w:style>
  <w:style w:type="paragraph" w:styleId="CommentSubject">
    <w:name w:val="annotation subject"/>
    <w:basedOn w:val="CommentText"/>
    <w:next w:val="CommentText"/>
    <w:semiHidden/>
    <w:rsid w:val="007112B6"/>
    <w:rPr>
      <w:b/>
      <w:bCs/>
    </w:rPr>
  </w:style>
  <w:style w:type="character" w:customStyle="1" w:styleId="Heading1Char">
    <w:name w:val="Heading 1 Char"/>
    <w:link w:val="Heading1"/>
    <w:rsid w:val="007112B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7112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7112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7112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112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112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12B6"/>
    <w:rPr>
      <w:rFonts w:ascii="Arial" w:hAnsi="Arial"/>
      <w:lang w:val="en-GB"/>
    </w:rPr>
  </w:style>
  <w:style w:type="paragraph" w:customStyle="1" w:styleId="B5">
    <w:name w:val="B5"/>
    <w:basedOn w:val="List5"/>
    <w:rsid w:val="007112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112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112B6"/>
    <w:pPr>
      <w:spacing w:after="0"/>
    </w:pPr>
  </w:style>
  <w:style w:type="paragraph" w:customStyle="1" w:styleId="TAL">
    <w:name w:val="TAL"/>
    <w:basedOn w:val="Normal"/>
    <w:rsid w:val="007112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112B6"/>
    <w:pPr>
      <w:jc w:val="center"/>
    </w:pPr>
  </w:style>
  <w:style w:type="paragraph" w:customStyle="1" w:styleId="TAH">
    <w:name w:val="TAH"/>
    <w:basedOn w:val="TAC"/>
    <w:rsid w:val="007112B6"/>
    <w:rPr>
      <w:b/>
    </w:rPr>
  </w:style>
  <w:style w:type="paragraph" w:customStyle="1" w:styleId="TAN">
    <w:name w:val="TAN"/>
    <w:basedOn w:val="TAL"/>
    <w:rsid w:val="007112B6"/>
    <w:pPr>
      <w:ind w:left="851" w:hanging="851"/>
    </w:pPr>
  </w:style>
  <w:style w:type="paragraph" w:customStyle="1" w:styleId="TAR">
    <w:name w:val="TAR"/>
    <w:basedOn w:val="TAL"/>
    <w:rsid w:val="007112B6"/>
    <w:pPr>
      <w:jc w:val="right"/>
    </w:pPr>
  </w:style>
  <w:style w:type="paragraph" w:customStyle="1" w:styleId="TH">
    <w:name w:val="TH"/>
    <w:basedOn w:val="Normal"/>
    <w:rsid w:val="007112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112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12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12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12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12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112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112B6"/>
  </w:style>
  <w:style w:type="paragraph" w:customStyle="1" w:styleId="ZH">
    <w:name w:val="ZH"/>
    <w:rsid w:val="007112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112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112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12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12B6"/>
    <w:pPr>
      <w:framePr w:wrap="notBeside" w:y="16161"/>
    </w:pPr>
  </w:style>
  <w:style w:type="paragraph" w:customStyle="1" w:styleId="FP">
    <w:name w:val="FP"/>
    <w:basedOn w:val="Normal"/>
    <w:rsid w:val="007112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112B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12B6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7112B6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142A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42A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60494"/>
    <w:pPr>
      <w:ind w:left="720"/>
      <w:contextualSpacing/>
    </w:pPr>
  </w:style>
  <w:style w:type="table" w:styleId="TableGrid">
    <w:name w:val="Table Grid"/>
    <w:basedOn w:val="TableNormal"/>
    <w:uiPriority w:val="39"/>
    <w:rsid w:val="00F85220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basedOn w:val="DefaultParagraphFont"/>
    <w:link w:val="B1"/>
    <w:locked/>
    <w:rsid w:val="002257C5"/>
    <w:rPr>
      <w:rFonts w:ascii="Arial" w:hAnsi="Arial"/>
      <w:lang w:val="en-GB" w:eastAsia="en-US"/>
    </w:rPr>
  </w:style>
  <w:style w:type="character" w:customStyle="1" w:styleId="B1Char">
    <w:name w:val="B1 Char"/>
    <w:locked/>
    <w:rsid w:val="007F2F39"/>
    <w:rPr>
      <w:lang w:val="x-none" w:eastAsia="en-US"/>
    </w:rPr>
  </w:style>
  <w:style w:type="character" w:customStyle="1" w:styleId="B1Char1">
    <w:name w:val="B1 Char1"/>
    <w:rsid w:val="000252D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0252DE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0252DE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E657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E657AF"/>
    <w:rPr>
      <w:rFonts w:ascii="Times New Roman" w:hAnsi="Times New Roman"/>
      <w:lang w:val="en-GB" w:eastAsia="x-none"/>
    </w:rPr>
  </w:style>
  <w:style w:type="character" w:styleId="Emphasis">
    <w:name w:val="Emphasis"/>
    <w:qFormat/>
    <w:rsid w:val="00E657AF"/>
    <w:rPr>
      <w:i/>
      <w:iCs/>
    </w:rPr>
  </w:style>
  <w:style w:type="paragraph" w:styleId="Revision">
    <w:name w:val="Revision"/>
    <w:hidden/>
    <w:uiPriority w:val="99"/>
    <w:semiHidden/>
    <w:rsid w:val="002F3C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pok\Documents\Research\STAR\Workarea\Access%20Control\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5NUHHDQN7SK2-1-177187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https://ericoll.internal.ericsson.com/sites/star/_layouts/DocIdRedir.aspx?ID=5NUHHDQN7SK2-1-177187</Url>
      <Description>5NUHHDQN7SK2-1-177187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D5FADD-6FC2-418C-BB1F-039686659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34BCD8-2AE1-4DA5-B8E9-FD0C777B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 - Contribution Template</Template>
  <TotalTime>0</TotalTime>
  <Pages>3</Pages>
  <Words>686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</cp:lastModifiedBy>
  <cp:revision>2</cp:revision>
  <cp:lastPrinted>2008-01-31T06:09:00Z</cp:lastPrinted>
  <dcterms:created xsi:type="dcterms:W3CDTF">2017-06-16T21:16:00Z</dcterms:created>
  <dcterms:modified xsi:type="dcterms:W3CDTF">2017-06-16T21:16:00Z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f3060261-2ff1-4647-aa26-53e1b00952ac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